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8" Type="http://schemas.openxmlformats.org/officeDocument/2006/relationships/extended-properties" Target="docProps/app.xml"/><Relationship Id="rId9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auto"/>
        <w:ind w:left="0" w:right="0" w:start="0" w:end="0"/>
        <w:spacing w:before="240" w:after="60" w:line="240"/>
        <w:rPr>
          <w:b w:val="false"/>
          <w:rFonts w:ascii="Arial" w:eastAsia="Arial" w:hAnsi="Arial" w:cs="Arial"/>
          <w:sz w:val="28"/>
          <w:kern w:val="28"/>
        </w:rPr>
      </w:pPr>
      <w:r>
        <w:rPr>
          <w:b w:val="false"/>
          <w:rFonts w:ascii="Arial" w:eastAsia="Arial" w:hAnsi="Arial" w:cs="Arial"/>
          <w:sz w:val="28"/>
          <w:kern w:val="28"/>
        </w:rPr>
        <w:t xml:space="preserve">Personal Information Form for Trust Preparation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Dated: 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Banking accounts: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Certificates of deposit: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Stock Brokers: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Stocks not held by brokers: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Parcels of real estate owned: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Mortgages/liens against the real estate: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C.P.A/Tax preparer: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Powers of attorney given to: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Debts owed me: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Litigation in which I am a party: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Attorney handling such litigation: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Burial plot and information regarding pre-paid burial plans: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Safe deposit boxes: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Life insurance policies: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Annuities: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Partnership interests: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Debts which I owe: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Persons jointly responsible for these debts, if any: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Location of other valuables: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Location of will/living trust: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Location of other important documents: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Special instructions: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Copies of the foregoing have been added to this file as exhibits.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Personal Information Form for Trust Preparation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You should fill out a personal information form for each member of your family and, if possible, include the related documents.  This project should be undertaken as a first draft; followed up upon at a later point so the task is not too daunting.  With the idea that any information provided is better than none, get to work on this promptly, at least as a first cut to the problem.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hanging="390" w:left="750" w:right="0" w:start="750" w:end="0"/>
        <w:spacing w:after="0" w:line="240"/>
        <w:numPr>
          <w:ilvl w:val="0"/>
          <w:numId w:val="1"/>
        </w:numPr>
        <w:tabs>
          <w:tab w:val="left" w:pos="75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Make a copy.  Update it once a year on a known anniversary date (e.g., birthday; January 1).</w:t>
      </w:r>
    </w:p>
    <w:p>
      <w:pPr>
        <w:jc w:val="both"/>
        <w:textAlignment w:val="auto"/>
        <w:ind w:hanging="390" w:left="750" w:right="0" w:start="750" w:end="0"/>
        <w:spacing w:after="0" w:line="240"/>
        <w:numPr>
          <w:ilvl w:val="0"/>
          <w:numId w:val="1"/>
        </w:numPr>
        <w:tabs>
          <w:tab w:val="left" w:pos="75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Keep a copy with your will/estate plan information.  Give a copy to your spouse, if you have one.</w:t>
      </w:r>
    </w:p>
    <w:p>
      <w:pPr>
        <w:jc w:val="both"/>
        <w:textAlignment w:val="auto"/>
        <w:ind w:left="360" w:right="0" w:start="360" w:end="0"/>
        <w:spacing w:after="0" w:line="240"/>
        <w:rPr>
          <w:rFonts w:ascii="Arial" w:eastAsia="Arial" w:hAnsi="Arial" w:cs="Arial"/>
          <w:sz w:val="22"/>
        </w:rPr>
      </w:pP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423457280">
    <w:multiLevelType w:val="hybridMultilevel"/>
    <w:tmpl w:val="5501e20"/>
    <w:lvl w:ilvl="0">
      <w:lvlJc w:val="left"/>
      <w:lvlText w:val="%1."/>
      <w:numFmt w:val="decimal"/>
      <w:start w:val="1"/>
      <w:suff w:val="tab"/>
      <w:pPr>
        <w:ind w:hanging="390" w:left="75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423457280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5</TotalTime>
  <Pages>2</Pages>
  <Words>222</Words>
  <Characters>1268</Characters>
  <CharactersWithSpaces>1557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 Form for Trust Preparation</dc:title>
  <dc:creator>Sergei Nemirovsky</dc:creator>
</cp:coreProperties>
</file>