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Homestead Declaration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 herewith declares that pursuant to the laws of ____________________________-, that the following described property is entitled to exemption from the claims of creditors: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 By Owner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File with appropriate court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2"/>
        </w:rPr>
      </w:pPr>
      <w:r>
        <w:rPr>
          <w:rFonts w:ascii="Arial" w:eastAsia="Arial" w:hAnsi="Arial" w:cs="Arial"/>
          <w:sz w:val="28"/>
        </w:rPr>
        <w:t xml:space="preserve">Homestead Declaration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If you can file this in your home state, you are well advised to do so to protect your property from ex parte and other liens.  </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Get this filed in your appropriate local court.  If you need more information or other documents, let the court guide you in that regard.</w:t>
      </w:r>
    </w:p>
    <w:p>
      <w:pPr>
        <w:jc w:val="both"/>
        <w:textAlignment w:val="auto"/>
        <w:ind w:left="360" w:right="0" w:start="36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047603802">
    <w:multiLevelType w:val="hybridMultilevel"/>
    <w:tmpl w:val="30bc20c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04760380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134</Words>
  <Characters>766</Characters>
  <CharactersWithSpaces>940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Homestead Declaration</dc:title>
  <dc:creator>Sergei Nemirovsky</dc:creator>
</cp:coreProperties>
</file>