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Judgment Assignment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 referred to as JUDGMENT HOLDER, and _________________, referred to as ASSIGNEE,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________________________, JUDGMENT HOLDER recovered a judgment against _________________, in the _________________, case number __________________, in the original principal amount of $_____ (__________________ &amp; 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JUDGMENT HOLDER assigns said judgment to ASSIGNEE without recourse or guarantee of payment.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JUDGMENT HOLDER agrees to execute any further documents which may be required to perfect this assignment.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 Judgment Holder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 Assignee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cc Party against whom the Judgment is held</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Judgment Assignment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We recommend you copy the party whom the judgment is held against to help promote collection.   This is a strictly tactical decision based on the strategy worked out between the Judgment holder and the new Assignee.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for your records.  </w:t>
      </w: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2</Pages>
  <Words>168</Words>
  <Characters>961</Characters>
  <CharactersWithSpaces>1180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Assignment</dc:title>
  <dc:creator>Sergei Nemirovsky</dc:creator>
</cp:coreProperties>
</file>