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footnotes.xml" ContentType="application/vnd.openxmlformats-officedocument.wordprocessingml.footnotes+xml"/>
  <Override PartName="/word/endnotes.xml" ContentType="application/vnd.openxmlformats-officedocument.wordprocessingml.endnot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7" Type="http://schemas.openxmlformats.org/officeDocument/2006/relationships/extended-properties" Target="docProps/app.xml"/><Relationship Id="rId8"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v="urn:schemas-microsoft-com:vml" xmlns:o="urn:schemas-microsoft-com:office:office" xmlns:wp="http://schemas.openxmlformats.org/drawingml/2006/wordprocessingDrawing" xmlns:m="http://schemas.openxmlformats.org/officeDocument/2006/math" xmlns:w10="urn:schemas-microsoft-com:office:word" xmlns:a="http://schemas.openxmlformats.org/drawingml/2006/main">
  <w:body>
    <w:p>
      <w:pPr>
        <w:jc w:val="center"/>
        <w:textAlignment w:val="auto"/>
        <w:ind w:left="0" w:right="0" w:start="0" w:end="0"/>
        <w:spacing w:after="0" w:line="240" w:lineRule="atLeast"/>
        <w:rPr>
          <w:rFonts w:ascii="Arial" w:eastAsia="Arial" w:hAnsi="Arial" w:cs="Arial"/>
          <w:sz w:val="28"/>
        </w:rPr>
      </w:pPr>
      <w:r>
        <w:rPr>
          <w:rFonts w:ascii="Arial" w:eastAsia="Arial" w:hAnsi="Arial" w:cs="Arial"/>
          <w:sz w:val="28"/>
        </w:rPr>
        <w:t xml:space="preserve">Limited Warranty</w:t>
      </w: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TO: ___________________ </w:t>
      </w: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Regarding: ____________________ </w:t>
      </w: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Dated: ________________ </w:t>
      </w: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These goods are sold with a 90-day warranty. The sole remedy for the goods failure to comply with this warranty is the replacement of the goods. The seller shall not be liable for consequential damages or damages other than replacement of the goods. </w:t>
      </w: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_________________</w:t>
      </w: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Seller </w:t>
      </w:r>
    </w:p>
    <w:p>
      <w:pPr>
        <w:jc w:val="both"/>
        <w:textAlignment w:val="auto"/>
        <w:ind w:left="0" w:right="0" w:start="0" w:end="0"/>
        <w:spacing w:after="0" w:line="240" w:lineRule="atLeast"/>
        <w:rPr>
          <w:rFonts w:ascii="Arial" w:eastAsia="Arial" w:hAnsi="Arial" w:cs="Arial"/>
          <w:sz w:val="22"/>
        </w:rPr>
      </w:pPr>
    </w:p>
    <w:p>
      <w:pPr>
        <w:jc w:val="center"/>
        <w:textAlignment w:val="auto"/>
        <w:ind w:left="0" w:right="0" w:start="0" w:end="0"/>
        <w:spacing w:after="0" w:line="240" w:lineRule="atLeast"/>
        <w:rPr>
          <w:rFonts w:ascii="Arial" w:eastAsia="Arial" w:hAnsi="Arial" w:cs="Arial"/>
          <w:sz w:val="22"/>
        </w:rPr>
      </w:pPr>
      <w:r>
        <w:rPr>
          <w:rFonts w:ascii="Arial" w:eastAsia="Arial" w:hAnsi="Arial" w:cs="Arial"/>
          <w:sz w:val="22"/>
        </w:rPr>
        <w:br w:type="page"/>
      </w:r>
    </w:p>
    <w:p>
      <w:pPr>
        <w:jc w:val="center"/>
        <w:textAlignment w:val="auto"/>
        <w:ind w:left="0" w:right="0" w:start="0" w:end="0"/>
        <w:spacing w:after="0" w:line="240" w:lineRule="atLeast"/>
        <w:rPr>
          <w:rFonts w:ascii="Arial" w:eastAsia="Arial" w:hAnsi="Arial" w:cs="Arial"/>
          <w:sz w:val="28"/>
        </w:rPr>
      </w:pPr>
      <w:r>
        <w:rPr>
          <w:rFonts w:ascii="Arial" w:eastAsia="Arial" w:hAnsi="Arial" w:cs="Arial"/>
          <w:sz w:val="28"/>
        </w:rPr>
        <w:t xml:space="preserve">Limited Warranty</w:t>
      </w:r>
    </w:p>
    <w:p>
      <w:pPr>
        <w:jc w:val="center"/>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Review List</w:t>
      </w:r>
    </w:p>
    <w:p>
      <w:pPr>
        <w:jc w:val="center"/>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This review list is provided to inform you about this document in question and assist you in its preparation.  Limited warranties are intended to limit the seller’s liability.  In fact, in our opinion, they open the door to liability by stating conclusively a warranty exists between seller and buyer, leaving the days of liability in question (i.e., stated by Seller as 90; what happens at 91, 100? and so on and so on, a plaintiff’s attorney can argue).  For this reason, we strongly advise against any warranties.  They rarely make a difference in the sale; so, if at all possible, give no warranties whatsoever.  Then, the option remains with the Seller what warranties to give.  This is what we do at Simply Media.  If someone has a genuine problem, then we deal with it.  But, we do not subject ourselves to the above potential plaintiff’s lawyer’s comments.</w:t>
      </w:r>
    </w:p>
    <w:p>
      <w:pPr>
        <w:jc w:val="both"/>
        <w:textAlignment w:val="auto"/>
        <w:ind w:left="0" w:right="0" w:start="0" w:end="0"/>
        <w:spacing w:after="0" w:line="240" w:lineRule="atLeast"/>
        <w:rPr>
          <w:rFonts w:ascii="Arial" w:eastAsia="Arial" w:hAnsi="Arial" w:cs="Arial"/>
          <w:sz w:val="22"/>
        </w:rPr>
      </w:pPr>
    </w:p>
    <w:p>
      <w:pPr>
        <w:jc w:val="both"/>
        <w:textAlignment w:val="auto"/>
        <w:ind w:left="0" w:right="0" w:start="0" w:end="0"/>
        <w:spacing w:after="0" w:line="240" w:lineRule="atLeast"/>
        <w:rPr>
          <w:rFonts w:ascii="Arial" w:eastAsia="Arial" w:hAnsi="Arial" w:cs="Arial"/>
          <w:sz w:val="22"/>
        </w:rPr>
      </w:pPr>
      <w:r>
        <w:rPr>
          <w:rFonts w:ascii="Arial" w:eastAsia="Arial" w:hAnsi="Arial" w:cs="Arial"/>
          <w:sz w:val="22"/>
        </w:rPr>
        <w:t xml:space="preserve">1.  Make multiple copies.  Put one in the transaction file.</w:t>
      </w:r>
    </w:p>
    <w:sectPr>
      <w:cols w:num="1" w:space="720" w:equalWidth="true"/>
      <w:lnNumType w:distance="0"/>
      <w:pgSz w:w="12240" w:h="15840"/>
      <w:pgMar w:left="1701" w:right="850" w:top="1134" w:bottom="1134" w:gutter="0" w:header="720" w:footer="720"/>
    </w:sectPr>
  </w:body>
</w:document>
</file>

<file path=word/endnotes.xml><?xml version="1.0" encoding="utf-8"?>
<w:endnotes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w:endnote w:type="separator" w:id="0">
    <w:p>
      <w:pPr>
        <w:spacing w:after="0"/>
        <w:rPr>
          <w:rFonts w:ascii="Times New Roman" w:eastAsia="Times New Roman" w:hAnsi="Times New Roman" w:cs="Times New Roman"/>
        </w:rPr>
      </w:pPr>
      <w:r>
        <w:rPr>
          <w:rFonts w:ascii="Times New Roman" w:eastAsia="Times New Roman" w:hAnsi="Times New Roman" w:cs="Times New Roman"/>
        </w:rPr>
        <w:separator/>
      </w:r>
    </w:p>
  </w:endnote>
  <w:endnote w:type="continuationSeparator" w:id="1">
    <w:p>
      <w:pPr>
        <w:spacing w:after="0"/>
        <w:rPr>
          <w:rFonts w:ascii="Times New Roman" w:eastAsia="Times New Roman" w:hAnsi="Times New Roman" w:cs="Times New Roman"/>
        </w:rPr>
      </w:pPr>
      <w:r>
        <w:rPr>
          <w:rFonts w:ascii="Times New Roman" w:eastAsia="Times New Roman" w:hAnsi="Times New Roman" w:cs="Times New Roman"/>
        </w:rPr>
        <w:separator/>
      </w:r>
    </w:p>
  </w:endnote>
</w:endnotes>
</file>

<file path=word/fontTable.xml><?xml version="1.0" encoding="utf-8"?>
<w:fonts xmlns:w="http://schemas.openxmlformats.org/wordprocessingml/2006/main">
  <w:font w:name="Times New Roman">
    <w:panose1 w:val="02020603050405020304"/>
    <w:family w:val="roman"/>
    <w:charset w:val="00"/>
    <w:pitch w:val="variable"/>
  </w:font>
  <w:font w:name="Arial">
    <w:panose1 w:val="020b0604020202020204"/>
    <w:family w:val="swiss"/>
    <w:charset w:val="00"/>
    <w:pitch w:val="variable"/>
  </w:font>
  <w:font w:name="Times New Roman CE">
    <w:family w:val="roman"/>
    <w:charset w:val="EE"/>
    <w:pitch w:val="variable"/>
  </w:font>
  <w:font w:name="Times New Roman Cyr">
    <w:family w:val="roman"/>
    <w:charset w:val="CC"/>
    <w:pitch w:val="variable"/>
  </w:font>
  <w:font w:name="Times New Roman Greek">
    <w:family w:val="roman"/>
    <w:charset w:val="A1"/>
    <w:pitch w:val="variable"/>
  </w:font>
  <w:font w:name="Times New Roman Tur">
    <w:family w:val="roman"/>
    <w:charset w:val="A2"/>
    <w:pitch w:val="variable"/>
  </w:font>
  <w:font w:name="Times New Roman (Hebrew)">
    <w:family w:val="roman"/>
    <w:charset w:val="B1"/>
    <w:pitch w:val="variable"/>
  </w:font>
  <w:font w:name="Times New Roman (Arabic)">
    <w:family w:val="roman"/>
    <w:charset w:val="B2"/>
    <w:pitch w:val="variable"/>
  </w:font>
  <w:font w:name="Times New Roman Baltic">
    <w:family w:val="roman"/>
    <w:charset w:val="BA"/>
    <w:pitch w:val="variable"/>
  </w:font>
  <w:font w:name="Arial CE">
    <w:family w:val="swiss"/>
    <w:charset w:val="EE"/>
    <w:pitch w:val="variable"/>
  </w:font>
  <w:font w:name="Arial Cyr">
    <w:family w:val="swiss"/>
    <w:charset w:val="CC"/>
    <w:pitch w:val="variable"/>
  </w:font>
  <w:font w:name="Arial Greek">
    <w:family w:val="swiss"/>
    <w:charset w:val="A1"/>
    <w:pitch w:val="variable"/>
  </w:font>
  <w:font w:name="Arial Tur">
    <w:family w:val="swiss"/>
    <w:charset w:val="A2"/>
    <w:pitch w:val="variable"/>
  </w:font>
  <w:font w:name="Arial (Hebrew)">
    <w:family w:val="swiss"/>
    <w:charset w:val="B1"/>
    <w:pitch w:val="variable"/>
  </w:font>
  <w:font w:name="Arial (Arabic)">
    <w:family w:val="swiss"/>
    <w:charset w:val="B2"/>
    <w:pitch w:val="variable"/>
  </w:font>
  <w:font w:name="Arial Baltic">
    <w:family w:val="swiss"/>
    <w:charset w:val="BA"/>
    <w:pitch w:val="variable"/>
  </w:font>
</w:fonts>
</file>

<file path=word/footnotes.xml><?xml version="1.0" encoding="utf-8"?>
<w:footnotes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w:footnote w:type="separator" w:id="0">
    <w:p>
      <w:pPr>
        <w:spacing w:after="0"/>
        <w:rPr>
          <w:rFonts w:ascii="Times New Roman" w:eastAsia="Times New Roman" w:hAnsi="Times New Roman" w:cs="Times New Roman"/>
        </w:rPr>
      </w:pPr>
      <w:r>
        <w:rPr>
          <w:rFonts w:ascii="Times New Roman" w:eastAsia="Times New Roman" w:hAnsi="Times New Roman" w:cs="Times New Roman"/>
        </w:rPr>
        <w:separator/>
      </w:r>
    </w:p>
  </w:footnote>
  <w:footnote w:type="continuationSeparator" w:id="1">
    <w:p>
      <w:pPr>
        <w:spacing w:after="0"/>
        <w:rPr>
          <w:rFonts w:ascii="Times New Roman" w:eastAsia="Times New Roman" w:hAnsi="Times New Roman" w:cs="Times New Roman"/>
        </w:rPr>
      </w:pPr>
      <w:r>
        <w:rPr>
          <w:rFonts w:ascii="Times New Roman" w:eastAsia="Times New Roman" w:hAnsi="Times New Roman" w:cs="Times New Roman"/>
        </w:rPr>
        <w:continuationSeparator/>
      </w:r>
    </w:p>
  </w:footnote>
</w:footnotes>
</file>

<file path=word/settings.xml><?xml version="1.0" encoding="utf-8"?>
<w:settings xmlns:w="http://schemas.openxmlformats.org/wordprocessingml/2006/main" xmlns:m="http://schemas.openxmlformats.org/officeDocument/2006/math">
  <w:zoom w:percent="100"/>
  <w:defaultTabStop w:val="720"/>
  <w:characterSpacingControl xmlns:w="http://schemas.openxmlformats.org/wordprocessingml/2006/main" w:val="doNotCompress"/>
  <w:compat>
    <w:doNotUseHTMLParagraphAutoSpacing xmlns:w="http://schemas.openxmlformats.org/wordprocessingml/2006/main"/>
    <w:forgetLastTabAlignment xmlns:w="http://schemas.openxmlformats.org/wordprocessingml/2006/main"/>
  </w:compat>
  <m:mathPr>
    <m:mathFont xmlns:m="http://schemas.openxmlformats.org/officeDocument/2006/math" m:val="Cambria Math"/>
    <m:brkBin xmlns:m="http://schemas.openxmlformats.org/officeDocument/2006/math" m:val="before"/>
    <m:brkBinSub xmlns:m="http://schemas.openxmlformats.org/officeDocument/2006/math" m:val="--"/>
    <m:smallFrac xmlns:m="http://schemas.openxmlformats.org/officeDocument/2006/math" m:val="off"/>
    <m:dispDef xmlns:m="http://schemas.openxmlformats.org/officeDocument/2006/math"/>
    <m:lMargin xmlns:m="http://schemas.openxmlformats.org/officeDocument/2006/math" m:val="0"/>
    <m:rMargin xmlns:m="http://schemas.openxmlformats.org/officeDocument/2006/math" m:val="0"/>
    <m:defJc m:val="centerGroup"/>
    <m:wrapIndent xmlns:m="http://schemas.openxmlformats.org/officeDocument/2006/math" m:val="1440"/>
    <m:intLim xmlns:m="http://schemas.openxmlformats.org/officeDocument/2006/math" m:val="subSup"/>
    <m:naryLim xmlns:m="http://schemas.openxmlformats.org/officeDocument/2006/math" m:val="undOvr"/>
  </m:mathPr>
  <w:themeFontLang xmlns:w="http://schemas.openxmlformats.org/wordprocessingml/2006/main" w:val="ru-RU"/>
  <w:clrSchemeMapping xmlns:w="http://schemas.openxmlformats.org/wordprocessingml/2006/main" w:bg1="light1" w:t1="dark1" w:bg2="light2" w:t2="dark2" w:accent1="accent1" w:accent2="accent2" w:accent3="accent3" w:accent4="accent4" w:accent5="accent5" w:accent6="accent6" w:hyperlink="hyperlink" w:followedHyperlink="followedHyperlink"/>
  <w:shapeDefaults xmlns:w="http://schemas.openxmlformats.org/wordprocessingml/2006/main">
    <o:shapedefaults xmlns:o="urn:schemas-microsoft-com:office:office" xmlns:v="urn:schemas-microsoft-com:vml" v:ext="edit" spidmax="2050"/>
    <o:shapelayout xmlns:o="urn:schemas-microsoft-com:office:office" xmlns:v="urn:schemas-microsoft-com:vml" v:ext="edit">
      <o:idmap v:ext="edit" data="1"/>
    </o:shapelayout>
  </w:shapeDefaults>
  <w:decimalSymbol xmlns:w="http://schemas.openxmlformats.org/wordprocessingml/2006/main" w:val=","/>
  <w:listSeparator xmlns:w="http://schemas.openxmlformats.org/wordprocessingml/2006/main" w:val=";"/>
  <w:doNotHyphenateCaps xmlns:w="http://schemas.openxmlformats.org/wordprocessingml/2006/main" w:val="true"/>
  <w:footnotePr xmlns:w="http://schemas.openxmlformats.org/wordprocessingml/2006/main">
    <w:footnote w:id="1"/>
    <w:footnote w:id="0"/>
    <w:pos w:val="pageBottom"/>
  </w:footnotePr>
  <w:endnotePr xmlns:w="http://schemas.openxmlformats.org/wordprocessingml/2006/main">
    <w:endnote w:id="1"/>
    <w:endnote w:id="0"/>
    <w:pos w:val="docEnd"/>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3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tyles" Target="styles.xml"/><Relationship Id="rId6" Type="http://schemas.openxmlformats.org/officeDocument/2006/relationships/fontTable" Target="fontTable.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xmlns:mc="http://schemas.openxmlformats.org/markup-compatibility/2006" xmlns:a14="http://schemas.microsoft.com/office/drawing/2007/7/7/main" val="1F497D" mc:Ignorable=""/>
      </a:dk2>
      <a:lt2>
        <a:srgbClr xmlns:mc="http://schemas.openxmlformats.org/markup-compatibility/2006" xmlns:a14="http://schemas.microsoft.com/office/drawing/2007/7/7/main" val="EEECE1" mc:Ignorable=""/>
      </a:lt2>
      <a:accent1>
        <a:srgbClr xmlns:mc="http://schemas.openxmlformats.org/markup-compatibility/2006" xmlns:a14="http://schemas.microsoft.com/office/drawing/2007/7/7/main" val="4F81BD" mc:Ignorable=""/>
      </a:accent1>
      <a:accent2>
        <a:srgbClr xmlns:mc="http://schemas.openxmlformats.org/markup-compatibility/2006" xmlns:a14="http://schemas.microsoft.com/office/drawing/2007/7/7/main" val="C0504D" mc:Ignorable=""/>
      </a:accent2>
      <a:accent3>
        <a:srgbClr xmlns:mc="http://schemas.openxmlformats.org/markup-compatibility/2006" xmlns:a14="http://schemas.microsoft.com/office/drawing/2007/7/7/main" val="9BBB59" mc:Ignorable=""/>
      </a:accent3>
      <a:accent4>
        <a:srgbClr xmlns:mc="http://schemas.openxmlformats.org/markup-compatibility/2006" xmlns:a14="http://schemas.microsoft.com/office/drawing/2007/7/7/main" val="8064A2" mc:Ignorable=""/>
      </a:accent4>
      <a:accent5>
        <a:srgbClr xmlns:mc="http://schemas.openxmlformats.org/markup-compatibility/2006" xmlns:a14="http://schemas.microsoft.com/office/drawing/2007/7/7/main" val="4BACC6" mc:Ignorable=""/>
      </a:accent5>
      <a:accent6>
        <a:srgbClr xmlns:mc="http://schemas.openxmlformats.org/markup-compatibility/2006" xmlns:a14="http://schemas.microsoft.com/office/drawing/2007/7/7/main" val="F79646" mc:Ignorable=""/>
      </a:accent6>
      <a:hlink>
        <a:srgbClr xmlns:mc="http://schemas.openxmlformats.org/markup-compatibility/2006" xmlns:a14="http://schemas.microsoft.com/office/drawing/2007/7/7/main" val="0000FF" mc:Ignorable=""/>
      </a:hlink>
      <a:folHlink>
        <a:srgbClr xmlns:mc="http://schemas.openxmlformats.org/markup-compatibility/2006" xmlns:a14="http://schemas.microsoft.com/office/drawing/2007/7/7/main" val="800080" mc:Ignorabl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xmlns:mc="http://schemas.openxmlformats.org/markup-compatibility/2006" xmlns:a14="http://schemas.microsoft.com/office/drawing/2007/7/7/main" val="000000" mc:Ignorable="">
                <a:alpha val="38000"/>
              </a:srgbClr>
            </a:outerShdw>
          </a:effectLst>
        </a:effectStyle>
        <a:effectStyle>
          <a:effectLst>
            <a:outerShdw blurRad="40000" dist="23000" dir="5400000" rotWithShape="0">
              <a:srgbClr xmlns:mc="http://schemas.openxmlformats.org/markup-compatibility/2006" xmlns:a14="http://schemas.microsoft.com/office/drawing/2007/7/7/main" val="000000" mc:Ignorable="">
                <a:alpha val="35000"/>
              </a:srgbClr>
            </a:outerShdw>
          </a:effectLst>
        </a:effectStyle>
        <a:effectStyle>
          <a:effectLst>
            <a:outerShdw blurRad="40000" dist="23000" dir="5400000" rotWithShape="0">
              <a:srgbClr xmlns:mc="http://schemas.openxmlformats.org/markup-compatibility/2006" xmlns:a14="http://schemas.microsoft.com/office/drawing/2007/7/7/main" val="000000" mc:Ignorable="">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otalTime>57</TotalTime>
  <Pages>2</Pages>
  <Words>193</Words>
  <Characters>1105</Characters>
  <CharactersWithSpaces>1357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Warranty</dc:title>
  <dc:creator>Sergei Nemirovsky</dc:creator>
</cp:coreProperties>
</file>