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ASSET SALE ADVANCE NOTICE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SELLER ENTITY]</w:t>
      </w:r>
    </w:p>
    <w:p>
      <w:pPr>
        <w:spacing w:line="276" w:lineRule="auto"/>
      </w:pPr>
      <w:r>
        <w:rPr>
          <w:rFonts w:ascii="Times New Roman" w:hAnsi="Times New Roman" w:eastAsia="Times New Roman" w:cs="Times New Roman"/>
          <w:sz w:val="22"/>
          <w:szCs w:val="22"/>
          <w:b w:val="0"/>
          <w:bCs w:val="0"/>
        </w:rPr>
        <w:t xml:space="preserve">[SELLER STREET ADDRESS]</w:t>
      </w:r>
    </w:p>
    <w:p>
      <w:pPr>
        <w:spacing w:line="276" w:lineRule="auto"/>
      </w:pPr>
      <w:r>
        <w:rPr>
          <w:rFonts w:ascii="Times New Roman" w:hAnsi="Times New Roman" w:eastAsia="Times New Roman" w:cs="Times New Roman"/>
          <w:sz w:val="22"/>
          <w:szCs w:val="22"/>
          <w:b w:val="0"/>
          <w:bCs w:val="0"/>
        </w:rPr>
        <w:t xml:space="preserve">[SELLER CITY, STATE, ZIP]</w:t>
      </w:r>
    </w:p>
    <w:p>
      <w:pPr>
        <w:spacing w:line="276" w:lineRule="auto"/>
      </w:pPr>
      <w:r>
        <w:rPr>
          <w:rFonts w:ascii="Times New Roman" w:hAnsi="Times New Roman" w:eastAsia="Times New Roman" w:cs="Times New Roman"/>
          <w:sz w:val="22"/>
          <w:szCs w:val="22"/>
          <w:b w:val="0"/>
          <w:bCs w:val="0"/>
        </w:rPr>
        <w:t xml:space="preserve">[SELLER TELEPHONE NUMBER]</w:t>
      </w: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BUYER ENTITY]</w:t>
      </w:r>
    </w:p>
    <w:p>
      <w:pPr>
        <w:spacing w:line="276" w:lineRule="auto"/>
      </w:pPr>
      <w:r>
        <w:rPr>
          <w:rFonts w:ascii="Times New Roman" w:hAnsi="Times New Roman" w:eastAsia="Times New Roman" w:cs="Times New Roman"/>
          <w:sz w:val="22"/>
          <w:szCs w:val="22"/>
          <w:b w:val="0"/>
          <w:bCs w:val="0"/>
        </w:rPr>
        <w:t xml:space="preserve">[BUYER STREET ADDRESS]</w:t>
      </w:r>
    </w:p>
    <w:p>
      <w:pPr>
        <w:spacing w:line="276" w:lineRule="auto"/>
      </w:pPr>
      <w:r>
        <w:rPr>
          <w:rFonts w:ascii="Times New Roman" w:hAnsi="Times New Roman" w:eastAsia="Times New Roman" w:cs="Times New Roman"/>
          <w:sz w:val="22"/>
          <w:szCs w:val="22"/>
          <w:b w:val="0"/>
          <w:bCs w:val="0"/>
        </w:rPr>
        <w:t xml:space="preserve">[BUYER CITY, STATE, ZIP]</w:t>
      </w:r>
    </w:p>
    <w:p>
      <w:pPr>
        <w:spacing w:line="276" w:lineRule="auto"/>
      </w:pPr>
      <w:r>
        <w:rPr>
          <w:rFonts w:ascii="Times New Roman" w:hAnsi="Times New Roman" w:eastAsia="Times New Roman" w:cs="Times New Roman"/>
          <w:sz w:val="22"/>
          <w:szCs w:val="22"/>
          <w:b w:val="0"/>
          <w:bCs w:val="0"/>
        </w:rPr>
        <w:t xml:space="preserve">[BUYER TELEPHONE NUMBER]</w:t>
      </w: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ADVANCE NOTICE OF PROPOSED SALE OF BUSINESS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AND EFFECT OF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Purpose: This Advance Notice is delivered pursuant to [SECTION NUMBER OF PURCHASE AGREEMENT OR APPLICABLE CONTRACT] to provide advance written notice of the proposed sale and transfer of certain business assets of [SELLER NAME] to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Nature of Notice: This Notice constitutes an advance notice only and does not constitute a binding offer, acceptance, assignment, novation, or transfer of any asset, right, or obligation.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Effective Date of Notice: This Notice is effective as of [EFFECTIVE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IDENTIFICATION OF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Seller: [SELLER LEGAL NAME], a [SELLER ENTITY TYPE] organized under the laws of [SELLER STATE OF ORGANIZATION], with its principal place of business at [SELLER PRINCIPAL BUSINESS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Buyer: [BUYER LEGAL NAME], a [BUYER ENTITY TYPE] organized under the laws of [BUYER STATE OF ORGANIZATION], with its principal place of business at [BUYER PRINCIPAL BUSINESS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Seller Notice Contact: [SELLER NOTICE CONTACT NAME], [SELLER NOTICE CONTACT TITLE], [SELLER NOTICE CONTACT ADDRESS], [SELLER NOTICE CONTACT EMAIL], [SELLER NOTICE CONTACT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Buyer Notice Contact: [BUYER NOTICE CONTACT NAME], [BUYER NOTICE CONTACT TITLE], [BUYER NOTICE CONTACT ADDRESS], [BUYER NOTICE CONTACT EMAIL], [BUYER NOTICE CONTACT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DESCRIPTION OF BUSINESS AND ASSETS TO BE SOLD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Business Description: The business subject to the proposed sale is [DESCRIPTION OF BUSINESS], operated at [BUSINESS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Assets Included: The proposed sale includes the following assets: [DESCRIPTION OF ASSETS TO BE SOLD, INCLUDING TANGIBLE AND INTANGIBLE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Assets Excluded: The following assets are excluded from the proposed sale: [DESCRIPTION OF 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Assumed Liabilities: The Buyer proposes to assume the following liabilities: [DESCRIPTION OF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Excluded Liabilities: The Seller will retain the following liabilities: [DESCRIPTION OF RETAINED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PROPOSED TRANSACTION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Proposed Closing Date: [PROPOSED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Purchase Price: [PURCHASE PRICE AND CURRENCY].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Payment Terms: [DESCRIPTION OF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Conditions to Closing: [DESCRIPTION OF MATERIAL CONDITIONS TO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Governing Agreement: The proposed transaction is governed by that certain [TITLE OF PURCHASE AGREEMENT], dated [PURCHASE AGREEMENT DATE], by and between Seller and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CONTRACTS AND AGREEMENTS AFFECTED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Contracts to Be Assigned: The following contracts are proposed to be assigned to Buyer: [LIST OF CONTRACTS TO BE ASSIGNED].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Consents Required: The assignment of the following contracts requires the consent of the counterparty: [LIST OF CONTRACTS REQUIRING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Consent Request Deadline: Any counterparty consent must be delivered no later than [CONSENT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Non-Assignable Contracts: Contracts that cannot be assigned without consent and for which consent is not obtained will be [TREATMENT OF NON-ASSIGNABLE CONTRACTS].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NOTICE TO THIRD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Parties Entitled to Notice: This Notice is being delivered to [LIST OF THIRD PARTIES ENTITLED TO NOTICE, INCLUDING LANDLORDS, LENDERS, LICENSORS, AND COUNTERPARTIES].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Manner of Delivery: Notice is being delivered by [METHOD OF DELIVERY, E.G., CERTIFIED MAIL, OVERNIGHT COURIER,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Response Period: Recipients of this Notice may submit written objections or comments no later than [RESPONSE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Address for Responses: All responses must be directed to [ADDRESS FOR RESPONSES], Attention: [RESPONSE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Authority: Seller represents that it has full power and authority to execute and deliver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Accuracy of Information: Seller represents that the information contained in this Notice is true and accurate in all material respects as of the date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No Undisclosed Liabilities: Seller represents that, to its knowledge, there are no material undisclosed liabilities associated with the assets to be sold, except as disclosed in Section 3.5.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Title to Assets: Seller represents that it holds good and marketable title to the assets to be sold, free and clear of all liens, except [DESCRIPTION OF PERMITTED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 OF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Authority: Buyer represents that it has full power and authority to execute and deliver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Financial Capacity: Buyer represents that it has sufficient funds to consummate the proposed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Intent to Perform: Buyer represents that it intends to perform its obligations under the proposed purchase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CONDITIONS PRECEDENT TO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Third-Party Consents: The sale is conditioned upon receipt of all required third-party consents listed in Section 5.2.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Regulatory Approvals: The sale is conditioned upon receipt of the following regulatory approvals: [LIST OF REGULATORY APPROVALS].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Due Diligence Completion: The sale is conditioned upon completion of Buyer's due diligence to its satisfaction by [DUE DILIGENCE COMPLETION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No Material Adverse Change: The sale is conditioned upon there being no material adverse change in the business or assets between the date of this Notice and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ALLOCATION OF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Allocation Schedule: The purchase price shall be allocated among the assets as set forth in [ALLOCATION SCHEDULE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Tax Reporting: Seller and Buyer shall each report the transaction for tax purposes in a manner consistent with the allocation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EMPLOYEES AND EMPLOYEE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Employees to Be Transferred: The following employees are proposed to be transferred to Buyer: [LIST OF EMPLOYEES OR EMPLOYEE CATEGORIES].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Employee Benefits: Buyer [WILL/WILL NOT] assume the employee benefit plans and obligations described in [BENEFIT PLAN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WARN Act Compliance: Seller and Buyer shall each be responsible for compliance with the Worker Adjustment and Retraining Notification Act and any comparable state law to the extent applicable to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IP Assets Transferred: The following intellectual property assets are included in the sale: [LIST OF INTELLECTUAL PROPERTY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Licenses: The following licenses are granted or assigned in connection with the sale: [DESCRIPTION OF LICENSES].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Recordation: Seller shall execute all documents reasonably necessary to record the transfer of registered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REAL PROPERTY AND LEASES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Leased Premises: The business operates from the following leased premises: [LEASED PREMISES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Landlord: [LANDLORD NAME], [LANDLORD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Lease Assignment: The lease for the leased premises [WILL/WILL NOT] be assigned to Buyer, subject to landlord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Lease Consent Deadline: Landlord consent must be obtained no later than [LEASE CONSENT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TAXES AND PRORATIONS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Proration: Real property taxes, personal property taxes, rents, and utilities shall be prorated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Transfer Taxes: Transfer taxes shall be borne by [PARTY RESPONSIBLE FOR TRANSFER TAXES].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Sales Tax: Any sales tax payable on the sale of assets shall be borne by [PARTY RESPONSIBLE FOR SALES TAX].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Seller Indemnification: Seller shall indemnify Buyer against losses arising from breaches of Seller's representations, warranties, and covenants.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Buyer Indemnification: Buyer shall indemnify Seller against losses arising from breaches of Buyer's representations, warranties, and covenants.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Survival Period: The representations and warranties shall survive the closing for a period of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Indemnification Cap: The aggregate indemnification obligation shall not exceed [INDEMNIFICATION CAP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Confidential Information: The terms of this Notice and the proposed transaction are confidential and shall not be disclosed except as required by law or with the prior written consent of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Permitted Disclosures: Disclosures may be made to [LIST OF PERMITTED DISCLOSURE RECIPIENTS, INCLUDING ADVISORS, LENDERS, AND REGULATORS].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Duration: The confidentiality obligations shall survive for [CONFIDENTIALITY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Governing Law: This Notice shall be governed by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Dispute Resolution: Any dispute arising out of or relating to this Notice shall be resolved by [DISPUTE RESOLUTION METHOD, E.G., BINDING ARBITRATION,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Venue: The exclusive venue for any action shall be [VENUE,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Entire Notice: This Notice, together with the purchase agreement referenced in Section 4.5, constitutes the entire understanding regarding the subject matter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Amendment: This Notice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Severability: If any provision of this Notice is held invalid,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18.4 Waiver: No waiver of any provision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18.5 Counterparts: This Notice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18.6 Further Assurances: Each party shall execute such further documents as may be reasonably necessary to carry out the purposes of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Seller Signature: IN WITNESS WHEREOF, Seller has executed this Notice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[SELLER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[SELLER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Buyer Signature: IN WITNESS WHEREOF, Buyer has executed this Notice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[BUYER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[BUYER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ACKNOWLEDGMENT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Recipient Acknowledgment: The undersigned acknowledges receipt of this Advance Notice of Proposed Sale of Business Assets on [DATE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[RECIPIENT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[RECIPIENT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[RECIPIENT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2026-10-22T11:27:46+00:00</dcterms:created>
  <dcterms:modified xsi:type="dcterms:W3CDTF">2026-10-22T11:27:46+00:00</dcterms:modified>
</cp:coreProperties>
</file>

<file path=docProps/custom.xml><?xml version="1.0" encoding="utf-8"?>
<Properties xmlns="http://schemas.openxmlformats.org/officeDocument/2006/custom-properties" xmlns:vt="http://schemas.openxmlformats.org/officeDocument/2006/docPropsVTypes"/>
</file>